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2020/259 vom 17. August 2021</w:t>
      </w:r>
    </w:p>
    <w:p>
      <w:r>
        <w:t>Sg Verwaltungsgericht, 2021-08-17, DE</w:t>
      </w:r>
    </w:p>
    <w:p>
      <w:r>
        <w:rPr>
          <w:b/>
        </w:rPr>
        <w:t xml:space="preserve">Quelle: </w:t>
      </w:r>
      <w:r>
        <w:t>https://mcp.opencaselaw.ch/entscheid/sg_publikationen_B 2020_259</w:t>
      </w:r>
    </w:p>
    <w:p>
      <w:r>
        <w:t>FR: SG_VERWALTUNGSGERICHT B 2020/259 du 17 août 2021</w:t>
      </w:r>
    </w:p>
    <w:p>
      <w:r>
        <w:t>IT: SG_VERWALTUNGSGERICHT B 2020/259 del 17 agosto 2021</w:t>
      </w:r>
    </w:p>
    <w:p>
      <w:pPr>
        <w:pStyle w:val="Heading2"/>
      </w:pPr>
      <w:r>
        <w:t>Regeste</w:t>
      </w:r>
    </w:p>
    <w:p>
      <w:r>
        <w:t>Entschädigung aus enteignungsähnlicher Eigentumsbeschränkung (materielle Enteignung), Verzinsung der Entschädigung. Art. 51 Abs. 3 EntG, Art. 26 Abs. 2 BV in Verbindung mit Art. 5 Abs. 2 RPG. Die Verzinsung der Entschädigung aus materieller Enteignung bildet nach der bundesgerichtlichen Rechtsprechung Teil des bundesrechtlichen Anspruchs auf volle Entschädigung gemäss Art. 26 Abs. 2 BV bzw. Art. 5 Abs. 2 RPG. Nach der Rechtsprechung steht dem Grundeigentümer, der durch eine materielle Enteignung betroffen wird, grundsätzlich von dem Tage an ein Anspruch auf Verzinsung der Entschädigung zu, an dem er unmissverständlich um Vergütung für den Eingriff ersucht. Ob es angesichts der bundesrechtlichen Vorgaben zulässig ist, den Beginn des Zinsenlaufs durch eine Bestimmung im kantonalen Recht von der förmlichen Einreichung eines Entschädigungsbegehrens bei der zuständigen kantonalen Instanz – hier der Schätzungskommission für Enteignungen – abhängig zu machen, kann offen gelassen werden. Die Auslegung von Art. 51 Abs. 3 EntG ergibt nämlich, dass es nach st. gallischem Enteignungsrecht für den Beginn des Zinsenlaufs genügt, dass die Entschädigung unmissverständlich gegenüber dem Gemeinwesen – das heisst der öffentlich-rechtlichen Körperschaft, von welcher die materielle Enteignung ausgeht und gegenüber der (allein) ein allfälliger Anspruch auf eine entsprechende Entschädigung besteht – geltend gemacht wird. Dies erfolgte vorliegend ausdrücklich in der Einsprache des Rechtsvorgängers des Beschwerdeführers gegen die erstmalige öffentliche Auflage des betreffenden revidierten Zonenplans. Darauf ist unter den gegebenen konkreten Umständen abzustellen (Verwaltungsgericht, B 2020/259).</w:t>
      </w:r>
    </w:p>
    <w:p>
      <w:pPr>
        <w:pStyle w:val="Heading2"/>
      </w:pPr>
      <w:r>
        <w:t>Erwägungen</w:t>
      </w:r>
    </w:p>
    <w:p>
      <w:r>
        <w:rPr>
          <w:b/>
        </w:rPr>
        <w:t>E. 2</w:t>
      </w:r>
    </w:p>
    <w:p>
      <w:r>
        <w:t>eine Entschädigung von CHF 424'020 nebst Zins zu 2,75% seit 17. Oktober 2012 zu bezahlen. Die amtlichen Kosten von CHF 2'500 werden der Beschwerdegegnerin auferlegt. Auf die Erhebung wird verzichtet. Der vom Beschwerdeführer geleistete Kostenvorschuss von CHF 2'500 wird ihm zurückerstattet. Die Beschwerdegegnerin entschädigt den Beschwerdeführer für das Beschwerdeverfahren mit CHF 3'640 (samt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